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8" w:rsidRPr="00D7547B" w:rsidRDefault="001756D8" w:rsidP="001756D8">
      <w:pPr>
        <w:rPr>
          <w:b/>
          <w:bCs/>
          <w:noProof/>
          <w:sz w:val="34"/>
          <w:szCs w:val="34"/>
        </w:rPr>
      </w:pPr>
      <w:r w:rsidRPr="00D7547B">
        <w:rPr>
          <w:b/>
          <w:bCs/>
          <w:noProof/>
          <w:sz w:val="34"/>
          <w:szCs w:val="34"/>
        </w:rPr>
        <w:t>DLA Księgow</w:t>
      </w:r>
      <w:r w:rsidR="00D411E1">
        <w:rPr>
          <w:b/>
          <w:bCs/>
          <w:noProof/>
          <w:sz w:val="34"/>
          <w:szCs w:val="34"/>
        </w:rPr>
        <w:t xml:space="preserve">ości – ważne zmiany! </w:t>
      </w:r>
      <w:r w:rsidR="00B719B5">
        <w:rPr>
          <w:b/>
          <w:bCs/>
          <w:noProof/>
          <w:sz w:val="34"/>
          <w:szCs w:val="34"/>
        </w:rPr>
        <w:t>Mamy jeszcze wolne miejsca.</w:t>
      </w:r>
      <w:r w:rsidRPr="00D7547B">
        <w:rPr>
          <w:b/>
          <w:bCs/>
          <w:noProof/>
          <w:sz w:val="34"/>
          <w:szCs w:val="34"/>
        </w:rPr>
        <w:t xml:space="preserve">    </w:t>
      </w:r>
    </w:p>
    <w:p w:rsidR="001756D8" w:rsidRPr="00D7547B" w:rsidRDefault="001756D8" w:rsidP="001756D8">
      <w:pPr>
        <w:rPr>
          <w:b/>
          <w:bCs/>
          <w:noProof/>
          <w:sz w:val="34"/>
          <w:szCs w:val="34"/>
        </w:rPr>
      </w:pPr>
      <w:r w:rsidRPr="00D7547B">
        <w:rPr>
          <w:b/>
          <w:bCs/>
          <w:noProof/>
          <w:sz w:val="34"/>
          <w:szCs w:val="34"/>
        </w:rPr>
        <w:t>Przy zgłoszeniu 2 osób 10% rabatu. Serdecznie zapraszamy!</w:t>
      </w:r>
    </w:p>
    <w:p w:rsidR="001756D8" w:rsidRPr="00D7547B" w:rsidRDefault="001756D8" w:rsidP="001756D8">
      <w:pPr>
        <w:jc w:val="center"/>
        <w:rPr>
          <w:b/>
          <w:bCs/>
          <w:sz w:val="12"/>
          <w:szCs w:val="12"/>
        </w:rPr>
      </w:pPr>
    </w:p>
    <w:p w:rsidR="001756D8" w:rsidRPr="0011355E" w:rsidRDefault="001756D8" w:rsidP="0011355E">
      <w:pPr>
        <w:jc w:val="center"/>
        <w:rPr>
          <w:b/>
          <w:bCs/>
          <w:sz w:val="22"/>
          <w:szCs w:val="22"/>
          <w:lang w:val="en-US"/>
        </w:rPr>
      </w:pPr>
      <w:r w:rsidRPr="00FD38EC">
        <w:rPr>
          <w:b/>
          <w:bCs/>
          <w:sz w:val="22"/>
          <w:szCs w:val="22"/>
          <w:lang w:val="en-US"/>
        </w:rPr>
        <w:t>www.cskormoran.pl, e-mail: biuro@cskormora</w:t>
      </w:r>
      <w:r w:rsidRPr="00A86AFF">
        <w:rPr>
          <w:b/>
          <w:bCs/>
          <w:sz w:val="22"/>
          <w:szCs w:val="22"/>
          <w:lang w:val="en-US"/>
        </w:rPr>
        <w:t xml:space="preserve">n.pl, tel. 89 679 57 72, </w:t>
      </w:r>
      <w:r w:rsidRPr="00177536">
        <w:rPr>
          <w:b/>
          <w:bCs/>
          <w:sz w:val="22"/>
          <w:szCs w:val="22"/>
          <w:lang w:val="en-US"/>
        </w:rPr>
        <w:t xml:space="preserve">fax 89 679 57 82, tel. </w:t>
      </w:r>
      <w:proofErr w:type="spellStart"/>
      <w:r w:rsidRPr="00177536">
        <w:rPr>
          <w:b/>
          <w:bCs/>
          <w:sz w:val="22"/>
          <w:szCs w:val="22"/>
          <w:lang w:val="en-US"/>
        </w:rPr>
        <w:t>kom</w:t>
      </w:r>
      <w:proofErr w:type="spellEnd"/>
      <w:r w:rsidRPr="00177536">
        <w:rPr>
          <w:b/>
          <w:bCs/>
          <w:sz w:val="22"/>
          <w:szCs w:val="22"/>
          <w:lang w:val="en-US"/>
        </w:rPr>
        <w:t>. 697 284 352</w:t>
      </w:r>
    </w:p>
    <w:p w:rsidR="003F51B7" w:rsidRPr="003F51B7" w:rsidRDefault="003F51B7" w:rsidP="003F51B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Bookman Old Style" w:hAnsi="Bookman Old Style"/>
          <w:sz w:val="36"/>
          <w:szCs w:val="36"/>
        </w:rPr>
      </w:pPr>
      <w:r w:rsidRPr="003F51B7">
        <w:rPr>
          <w:rFonts w:ascii="Bookman Old Style" w:hAnsi="Bookman Old Style"/>
          <w:b/>
          <w:bCs/>
          <w:sz w:val="36"/>
          <w:szCs w:val="36"/>
        </w:rPr>
        <w:t xml:space="preserve">VAT w </w:t>
      </w:r>
      <w:proofErr w:type="spellStart"/>
      <w:r w:rsidRPr="003F51B7">
        <w:rPr>
          <w:rFonts w:ascii="Bookman Old Style" w:hAnsi="Bookman Old Style"/>
          <w:b/>
          <w:bCs/>
          <w:sz w:val="36"/>
          <w:szCs w:val="36"/>
        </w:rPr>
        <w:t>jst</w:t>
      </w:r>
      <w:proofErr w:type="spellEnd"/>
      <w:r w:rsidRPr="003F51B7">
        <w:rPr>
          <w:rFonts w:ascii="Bookman Old Style" w:hAnsi="Bookman Old Style"/>
          <w:b/>
          <w:bCs/>
          <w:sz w:val="36"/>
          <w:szCs w:val="36"/>
        </w:rPr>
        <w:t xml:space="preserve"> – zmiany w VAT od 1 stycznia 2014</w:t>
      </w:r>
    </w:p>
    <w:p w:rsidR="003F51B7" w:rsidRDefault="003F51B7" w:rsidP="003F51B7">
      <w:pPr>
        <w:pStyle w:val="Akapitzlist"/>
        <w:autoSpaceDE w:val="0"/>
        <w:autoSpaceDN w:val="0"/>
        <w:adjustRightInd w:val="0"/>
        <w:ind w:left="30" w:hanging="390"/>
      </w:pPr>
      <w:r>
        <w:rPr>
          <w:b/>
        </w:rPr>
        <w:t>1.</w:t>
      </w:r>
      <w:r>
        <w:rPr>
          <w:b/>
          <w:sz w:val="14"/>
          <w:szCs w:val="14"/>
        </w:rPr>
        <w:t xml:space="preserve">       </w:t>
      </w:r>
      <w:r>
        <w:rPr>
          <w:b/>
          <w:bCs/>
        </w:rPr>
        <w:t xml:space="preserve">Gmina i jej jednostki podległe jako podatnicy VAT 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Definicja podatnika VAT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Zasady ustalania statusu podatkowego gminy i jej urzędu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Czy i kiedy samorządowe jednostki budżetowe i zakłady budżetowe są podatnikami VAT - w świetle uchwały NSA I FPS 1/13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Konsekwencje uchwały dla samorządowych jednostek budżetowych w zakresie ich rejestracji jako podatników VAT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 xml:space="preserve">Czynności między gminą a jej jednostką budżetową 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Czynności samorządowych jednostek budżetowych w deklaracji VAT gminy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Czynności podlegające i niepodlegające VAT - zasady kwalifikacji (przykłady)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 xml:space="preserve">Wpływ czynności niepodlegających VAT na odliczenie tego podatku 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Prawo gminy do odliczenia VAT od inwestycji przekazywanych podległym jednostkom budżetowym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 xml:space="preserve">Interpretacje Ministra Finansów dotyczące częściowych odliczeń VAT przez </w:t>
      </w:r>
      <w:proofErr w:type="spellStart"/>
      <w:r w:rsidRPr="0011355E">
        <w:rPr>
          <w:bCs/>
          <w:sz w:val="16"/>
          <w:szCs w:val="16"/>
        </w:rPr>
        <w:t>jst</w:t>
      </w:r>
      <w:proofErr w:type="spellEnd"/>
      <w:r w:rsidRPr="0011355E">
        <w:rPr>
          <w:bCs/>
          <w:sz w:val="16"/>
          <w:szCs w:val="16"/>
        </w:rPr>
        <w:t xml:space="preserve"> (przykłady) – konieczność ich weryfikacji przez MF</w:t>
      </w:r>
    </w:p>
    <w:p w:rsidR="003F51B7" w:rsidRDefault="003F51B7" w:rsidP="003F51B7">
      <w:pPr>
        <w:pStyle w:val="Akapitzlist"/>
        <w:autoSpaceDE w:val="0"/>
        <w:autoSpaceDN w:val="0"/>
        <w:adjustRightInd w:val="0"/>
        <w:ind w:left="30" w:hanging="390"/>
      </w:pPr>
      <w:r>
        <w:rPr>
          <w:b/>
        </w:rPr>
        <w:t>2.</w:t>
      </w:r>
      <w:r>
        <w:rPr>
          <w:b/>
          <w:sz w:val="14"/>
          <w:szCs w:val="14"/>
        </w:rPr>
        <w:t xml:space="preserve">       </w:t>
      </w:r>
      <w:r>
        <w:rPr>
          <w:b/>
          <w:bCs/>
        </w:rPr>
        <w:t xml:space="preserve">Czynności między jednostkami i zakładami samorządowymi 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Wpływ uchwały NSA na zakres wynikającego z rozporządzenia MF zwolnienia z VAT usług świadczonych pomiędzy jednostkami i zakładami budżetowymi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60" w:hanging="42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   </w:t>
      </w:r>
      <w:r w:rsidRPr="0011355E">
        <w:rPr>
          <w:bCs/>
          <w:sz w:val="16"/>
          <w:szCs w:val="16"/>
        </w:rPr>
        <w:t>Wykonywanie zadań własnych gminy przez jej zakład budżetowy</w:t>
      </w:r>
    </w:p>
    <w:p w:rsidR="003F51B7" w:rsidRDefault="003F51B7" w:rsidP="003F51B7">
      <w:pPr>
        <w:pStyle w:val="Akapitzlist"/>
        <w:autoSpaceDE w:val="0"/>
        <w:autoSpaceDN w:val="0"/>
        <w:adjustRightInd w:val="0"/>
        <w:ind w:left="30" w:hanging="390"/>
        <w:rPr>
          <w:rFonts w:ascii="Times New Roman , serif" w:hAnsi="Times New Roman , serif"/>
          <w:b/>
          <w:bCs/>
        </w:rPr>
      </w:pPr>
      <w:r>
        <w:rPr>
          <w:b/>
          <w:bCs/>
        </w:rPr>
        <w:t>3.</w:t>
      </w:r>
      <w:r>
        <w:rPr>
          <w:b/>
          <w:bCs/>
          <w:sz w:val="14"/>
          <w:szCs w:val="14"/>
        </w:rPr>
        <w:t xml:space="preserve">       </w:t>
      </w:r>
      <w:r>
        <w:rPr>
          <w:rFonts w:ascii="Times New Roman , serif" w:hAnsi="Times New Roman , serif"/>
          <w:b/>
          <w:bCs/>
        </w:rPr>
        <w:t>Zasady korzystania ze zwolnień z VAT przez gminy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30" w:hanging="390"/>
        <w:rPr>
          <w:sz w:val="16"/>
          <w:szCs w:val="16"/>
        </w:rPr>
      </w:pPr>
      <w:r>
        <w:rPr>
          <w:caps/>
        </w:rPr>
        <w:t>-</w:t>
      </w:r>
      <w:r>
        <w:rPr>
          <w:caps/>
          <w:sz w:val="14"/>
          <w:szCs w:val="14"/>
        </w:rPr>
        <w:t xml:space="preserve">         </w:t>
      </w:r>
      <w:r w:rsidRPr="0011355E">
        <w:rPr>
          <w:sz w:val="16"/>
          <w:szCs w:val="16"/>
        </w:rPr>
        <w:t>zwolnienia podmiotowe z VAT – zakres i zasady stosowania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30" w:hanging="390"/>
        <w:rPr>
          <w:sz w:val="16"/>
          <w:szCs w:val="16"/>
        </w:rPr>
      </w:pPr>
      <w:r w:rsidRPr="0011355E">
        <w:rPr>
          <w:sz w:val="16"/>
          <w:szCs w:val="16"/>
        </w:rPr>
        <w:t>-        jak ustalać limit zwolnieni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30" w:hanging="390"/>
        <w:rPr>
          <w:sz w:val="16"/>
          <w:szCs w:val="16"/>
        </w:rPr>
      </w:pPr>
      <w:r w:rsidRPr="0011355E">
        <w:rPr>
          <w:sz w:val="16"/>
          <w:szCs w:val="16"/>
        </w:rPr>
        <w:t xml:space="preserve">-     utrata zwolnienia bądź rezygnacja z niego – konsekwencje praktyczne </w:t>
      </w:r>
    </w:p>
    <w:p w:rsidR="003F51B7" w:rsidRPr="0011355E" w:rsidRDefault="003F51B7" w:rsidP="003F51B7">
      <w:pPr>
        <w:pStyle w:val="Akapitzlist"/>
        <w:autoSpaceDE w:val="0"/>
        <w:autoSpaceDN w:val="0"/>
        <w:adjustRightInd w:val="0"/>
        <w:ind w:left="30" w:hanging="390"/>
        <w:rPr>
          <w:sz w:val="16"/>
          <w:szCs w:val="16"/>
        </w:rPr>
      </w:pPr>
      <w:r w:rsidRPr="0011355E">
        <w:rPr>
          <w:sz w:val="16"/>
          <w:szCs w:val="16"/>
        </w:rPr>
        <w:t>-     zasady powrotu do zwolnienia z VAT</w:t>
      </w:r>
    </w:p>
    <w:p w:rsidR="003F51B7" w:rsidRDefault="003F51B7" w:rsidP="003F51B7">
      <w:pPr>
        <w:pStyle w:val="bodytext2"/>
        <w:widowControl w:val="0"/>
        <w:spacing w:before="0" w:beforeAutospacing="0" w:after="0" w:afterAutospacing="0"/>
        <w:ind w:left="30" w:right="-108" w:hanging="390"/>
      </w:pPr>
      <w:r>
        <w:rPr>
          <w:rFonts w:ascii="Times New Roman , serif" w:hAnsi="Times New Roman , serif"/>
          <w:b/>
        </w:rPr>
        <w:t>4.</w:t>
      </w:r>
      <w:r>
        <w:rPr>
          <w:rFonts w:ascii="Times New Roman , serif" w:hAnsi="Times New Roman , serif"/>
          <w:sz w:val="14"/>
          <w:szCs w:val="14"/>
        </w:rPr>
        <w:t>     </w:t>
      </w:r>
      <w:r>
        <w:rPr>
          <w:rFonts w:ascii="Times New Roman , serif" w:hAnsi="Times New Roman , serif"/>
          <w:b/>
        </w:rPr>
        <w:t>Obowiązek podatkowy w VAT – zmiany od 2014 r.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moment powstania obowiązku podatkowego - nowa zasada ogólna od 2014 r.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znowelizowany od 2014 r. szczególny moment powstania obowiązku podatkowego – w tym otrzymanie całości lub części zapłaty oraz wystawienie faktury VAT, zwłaszcza w odniesieniu do usług najmu, leasingu i tzw. dostawy mediów –praktyczne problemy związane ze stosowaniem nowych regulacji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rozliczanie płatności o charakterze zaliczkowym oraz świadczeń o charakterze częściowym i ciągłym</w:t>
      </w:r>
    </w:p>
    <w:p w:rsidR="003F51B7" w:rsidRDefault="003F51B7" w:rsidP="003F51B7">
      <w:pPr>
        <w:pStyle w:val="bodytext2"/>
        <w:widowControl w:val="0"/>
        <w:spacing w:before="0" w:beforeAutospacing="0" w:after="0" w:afterAutospacing="0"/>
        <w:ind w:left="30" w:right="-108" w:hanging="390"/>
      </w:pPr>
      <w:r>
        <w:rPr>
          <w:rFonts w:ascii="Times New Roman , serif" w:hAnsi="Times New Roman , serif"/>
          <w:b/>
        </w:rPr>
        <w:t>5.</w:t>
      </w:r>
      <w:r>
        <w:rPr>
          <w:rFonts w:ascii="Times New Roman , serif" w:hAnsi="Times New Roman , serif"/>
          <w:sz w:val="14"/>
          <w:szCs w:val="14"/>
        </w:rPr>
        <w:t xml:space="preserve">       </w:t>
      </w:r>
      <w:r>
        <w:rPr>
          <w:rFonts w:ascii="Times New Roman , serif" w:hAnsi="Times New Roman , serif"/>
          <w:b/>
        </w:rPr>
        <w:t>Podstawa opodatkowania VAT – zmiany od 2014 r.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definicja podstawy opodatkowania –nowe brzmienie od 2014 r.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pojęcie zapłaty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elementy tworzące podstawę opodatkowania – w tym wyłączenia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świadczenia o charakterze kompleksowym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zasady obniżania podstawy opodatkowania</w:t>
      </w:r>
    </w:p>
    <w:p w:rsidR="003F51B7" w:rsidRDefault="003F51B7" w:rsidP="003F51B7">
      <w:pPr>
        <w:pStyle w:val="bodytext2"/>
        <w:widowControl w:val="0"/>
        <w:spacing w:before="120" w:beforeAutospacing="0" w:after="0" w:afterAutospacing="0"/>
        <w:ind w:left="30" w:right="-108" w:hanging="390"/>
      </w:pPr>
      <w:r>
        <w:rPr>
          <w:b/>
        </w:rPr>
        <w:t>6.</w:t>
      </w:r>
      <w:r>
        <w:rPr>
          <w:sz w:val="14"/>
          <w:szCs w:val="14"/>
        </w:rPr>
        <w:t xml:space="preserve">       </w:t>
      </w:r>
      <w:r>
        <w:rPr>
          <w:rFonts w:ascii="Times New Roman , serif" w:hAnsi="Times New Roman , serif"/>
          <w:b/>
        </w:rPr>
        <w:t>Faktury i ewidencje dla celów VAT od 2014 r.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>
        <w:t>·</w:t>
      </w:r>
      <w:r>
        <w:rPr>
          <w:sz w:val="14"/>
          <w:szCs w:val="14"/>
        </w:rPr>
        <w:t xml:space="preserve">         </w:t>
      </w:r>
      <w:r w:rsidRPr="0011355E">
        <w:rPr>
          <w:sz w:val="16"/>
          <w:szCs w:val="16"/>
        </w:rPr>
        <w:t xml:space="preserve">definicja faktury i faktury elektronicznej w ustawie o VAT, 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 xml:space="preserve">·         elementy konieczne i dodatkowe na fakturach, 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 xml:space="preserve">·         terminy wystawiania faktur (w tym – wystawianie faktur na żądanie, wystawianie tzw. faktur medialnych) – wydłużenie terminów na wystawienie faktury, 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stosowanie przepisów przejściowych w rozliczeniach przełomu 2013/2014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 xml:space="preserve">·         zasady korygowania faktur, 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nota korygująca, duplikat – zasady wystawiania i ujmowania w ewidencjach VAT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uzupełniające regulacje dotyczące fakturowania w rozporządzeniu MF – elementy faktur dokumentujących sprzedaż zwolnioną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faktura a rachunek – stosowanie art. 87 § 1 Ordynacji podatkowej</w:t>
      </w:r>
    </w:p>
    <w:p w:rsidR="003F51B7" w:rsidRPr="0011355E" w:rsidRDefault="003F51B7" w:rsidP="006708ED">
      <w:pPr>
        <w:pStyle w:val="NormalnyWeb"/>
        <w:spacing w:before="0" w:beforeAutospacing="0" w:after="0" w:afterAutospacing="0"/>
        <w:ind w:left="720" w:hanging="360"/>
        <w:rPr>
          <w:sz w:val="16"/>
          <w:szCs w:val="16"/>
        </w:rPr>
      </w:pPr>
      <w:r w:rsidRPr="0011355E">
        <w:rPr>
          <w:sz w:val="16"/>
          <w:szCs w:val="16"/>
        </w:rPr>
        <w:t>·         zasady prowadzenia ewidencji i sporządzania deklaracji VAT w kontekście zmian od 2014 r.</w:t>
      </w:r>
    </w:p>
    <w:p w:rsidR="003F51B7" w:rsidRDefault="003F51B7" w:rsidP="003F51B7">
      <w:pPr>
        <w:pStyle w:val="bodytext2"/>
        <w:widowControl w:val="0"/>
        <w:spacing w:before="120" w:beforeAutospacing="0" w:after="0" w:afterAutospacing="0"/>
        <w:ind w:left="30" w:right="-108" w:hanging="390"/>
      </w:pPr>
      <w:r>
        <w:rPr>
          <w:b/>
          <w:caps/>
        </w:rPr>
        <w:t>7.</w:t>
      </w:r>
      <w:r>
        <w:rPr>
          <w:b/>
          <w:caps/>
          <w:sz w:val="14"/>
          <w:szCs w:val="14"/>
        </w:rPr>
        <w:t xml:space="preserve">       </w:t>
      </w:r>
      <w:r>
        <w:rPr>
          <w:b/>
        </w:rPr>
        <w:t>Odliczanie VAT naliczonego – zmiany od 2014 r.</w:t>
      </w:r>
    </w:p>
    <w:p w:rsidR="003F51B7" w:rsidRPr="0011355E" w:rsidRDefault="003F51B7" w:rsidP="003F51B7">
      <w:pPr>
        <w:pStyle w:val="bodytext2"/>
        <w:widowControl w:val="0"/>
        <w:tabs>
          <w:tab w:val="left" w:pos="709"/>
        </w:tabs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 </w:t>
      </w:r>
      <w:r w:rsidRPr="0011355E">
        <w:rPr>
          <w:sz w:val="16"/>
          <w:szCs w:val="16"/>
        </w:rPr>
        <w:t>zmiany w określaniu podatku naliczonego od 2014 r.</w:t>
      </w:r>
    </w:p>
    <w:p w:rsidR="003F51B7" w:rsidRPr="0011355E" w:rsidRDefault="003F51B7" w:rsidP="003F51B7">
      <w:pPr>
        <w:pStyle w:val="bodytext2"/>
        <w:widowControl w:val="0"/>
        <w:tabs>
          <w:tab w:val="left" w:pos="709"/>
        </w:tabs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 </w:t>
      </w:r>
      <w:r w:rsidRPr="0011355E">
        <w:rPr>
          <w:sz w:val="16"/>
          <w:szCs w:val="16"/>
        </w:rPr>
        <w:t>moment powstania prawa do odliczenia podatku naliczonego od 2014 r. (w tym - prawo do odliczenia a data otrzymania faktury, prawo do odliczenia a otrzymanie całości lub części zapłaty)</w:t>
      </w:r>
    </w:p>
    <w:p w:rsidR="003F51B7" w:rsidRPr="0011355E" w:rsidRDefault="003F51B7" w:rsidP="003F51B7">
      <w:pPr>
        <w:pStyle w:val="bodytext2"/>
        <w:widowControl w:val="0"/>
        <w:tabs>
          <w:tab w:val="left" w:pos="709"/>
        </w:tabs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 </w:t>
      </w:r>
      <w:r w:rsidRPr="0011355E">
        <w:rPr>
          <w:sz w:val="16"/>
          <w:szCs w:val="16"/>
        </w:rPr>
        <w:t>nowe regulacje w zakresie ograniczeń w prawie do odliczenia podatku naliczonego od 2014 r.</w:t>
      </w:r>
    </w:p>
    <w:p w:rsidR="003F51B7" w:rsidRPr="0011355E" w:rsidRDefault="003F51B7" w:rsidP="003F51B7">
      <w:pPr>
        <w:pStyle w:val="bodytext2"/>
        <w:widowControl w:val="0"/>
        <w:tabs>
          <w:tab w:val="left" w:pos="709"/>
        </w:tabs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 </w:t>
      </w:r>
      <w:r w:rsidRPr="0011355E">
        <w:rPr>
          <w:sz w:val="16"/>
          <w:szCs w:val="16"/>
        </w:rPr>
        <w:t>zasady kwalifikowania faktur zakupowych pod kątem ustalania prawa do odliczenia VAT (w tym – stosowanie klucza podziału)</w:t>
      </w:r>
    </w:p>
    <w:p w:rsidR="003F51B7" w:rsidRPr="0011355E" w:rsidRDefault="003F51B7" w:rsidP="003F51B7">
      <w:pPr>
        <w:pStyle w:val="bodytext2"/>
        <w:widowControl w:val="0"/>
        <w:tabs>
          <w:tab w:val="left" w:pos="709"/>
        </w:tabs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 </w:t>
      </w:r>
      <w:r w:rsidRPr="0011355E">
        <w:rPr>
          <w:sz w:val="16"/>
          <w:szCs w:val="16"/>
        </w:rPr>
        <w:t>stosowanie proporcji – zasady ustalania wskaźnika</w:t>
      </w:r>
    </w:p>
    <w:p w:rsidR="003F51B7" w:rsidRPr="0011355E" w:rsidRDefault="003F51B7" w:rsidP="003F51B7">
      <w:pPr>
        <w:pStyle w:val="bodytext2"/>
        <w:widowControl w:val="0"/>
        <w:tabs>
          <w:tab w:val="left" w:pos="709"/>
        </w:tabs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 </w:t>
      </w:r>
      <w:r w:rsidRPr="0011355E">
        <w:rPr>
          <w:sz w:val="16"/>
          <w:szCs w:val="16"/>
        </w:rPr>
        <w:t>korekty VAT naliczonego – bieżące i długookresowe</w:t>
      </w:r>
    </w:p>
    <w:p w:rsidR="003F51B7" w:rsidRPr="0011355E" w:rsidRDefault="003F51B7" w:rsidP="003F51B7">
      <w:pPr>
        <w:pStyle w:val="bodytext2"/>
        <w:widowControl w:val="0"/>
        <w:tabs>
          <w:tab w:val="left" w:pos="709"/>
        </w:tabs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 </w:t>
      </w:r>
      <w:r w:rsidRPr="0011355E">
        <w:rPr>
          <w:sz w:val="16"/>
          <w:szCs w:val="16"/>
        </w:rPr>
        <w:t xml:space="preserve"> kiedy VAT może być kosztem w podatku dochodowym (w tym – analiza w kontekście inwestycji realizowanych za środki unijne)</w:t>
      </w:r>
      <w:r w:rsidRPr="0011355E">
        <w:rPr>
          <w:b/>
          <w:caps/>
          <w:sz w:val="16"/>
          <w:szCs w:val="16"/>
        </w:rPr>
        <w:t> </w:t>
      </w:r>
    </w:p>
    <w:p w:rsidR="003F51B7" w:rsidRDefault="003F51B7" w:rsidP="003F51B7">
      <w:pPr>
        <w:pStyle w:val="bodytext2"/>
        <w:widowControl w:val="0"/>
        <w:spacing w:before="120" w:beforeAutospacing="0" w:after="0" w:afterAutospacing="0"/>
        <w:ind w:left="30" w:right="-108" w:hanging="390"/>
      </w:pPr>
      <w:r>
        <w:rPr>
          <w:b/>
          <w:caps/>
        </w:rPr>
        <w:t>8.</w:t>
      </w:r>
      <w:r>
        <w:rPr>
          <w:b/>
          <w:caps/>
          <w:sz w:val="14"/>
          <w:szCs w:val="14"/>
        </w:rPr>
        <w:t xml:space="preserve">       </w:t>
      </w:r>
      <w:r>
        <w:rPr>
          <w:b/>
        </w:rPr>
        <w:t xml:space="preserve">Kasy rejestrujące 2013-2014– obowiązki ewidencyjne </w:t>
      </w:r>
      <w:proofErr w:type="spellStart"/>
      <w:r>
        <w:rPr>
          <w:b/>
        </w:rPr>
        <w:t>jst</w:t>
      </w:r>
      <w:proofErr w:type="spellEnd"/>
    </w:p>
    <w:p w:rsidR="003F51B7" w:rsidRPr="0011355E" w:rsidRDefault="003F51B7" w:rsidP="003F51B7">
      <w:pPr>
        <w:pStyle w:val="NormalnyWeb"/>
        <w:spacing w:before="0" w:beforeAutospacing="0" w:after="0" w:afterAutospacing="0"/>
        <w:ind w:left="720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 </w:t>
      </w:r>
      <w:r w:rsidRPr="0011355E">
        <w:rPr>
          <w:sz w:val="16"/>
          <w:szCs w:val="16"/>
        </w:rPr>
        <w:t>zasady korzystania ze zwolnień z ewidencji na kasie – podmiotowych i przedmiotowych</w:t>
      </w:r>
    </w:p>
    <w:p w:rsidR="003F51B7" w:rsidRPr="0011355E" w:rsidRDefault="003F51B7" w:rsidP="003F51B7">
      <w:pPr>
        <w:pStyle w:val="NormalnyWeb"/>
        <w:spacing w:before="0" w:beforeAutospacing="0" w:after="0" w:afterAutospacing="0"/>
        <w:ind w:left="720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 </w:t>
      </w:r>
      <w:r w:rsidRPr="0011355E">
        <w:rPr>
          <w:sz w:val="16"/>
          <w:szCs w:val="16"/>
        </w:rPr>
        <w:t xml:space="preserve">nowe wymogi dotyczące stosowania kas (w tym wymogi co do treści paragonu, wymogi związane z korygowaniem sprzedaży </w:t>
      </w:r>
      <w:proofErr w:type="spellStart"/>
      <w:r w:rsidRPr="0011355E">
        <w:rPr>
          <w:sz w:val="16"/>
          <w:szCs w:val="16"/>
        </w:rPr>
        <w:t>zafiskalizowanej</w:t>
      </w:r>
      <w:proofErr w:type="spellEnd"/>
      <w:r w:rsidRPr="0011355E">
        <w:rPr>
          <w:sz w:val="16"/>
          <w:szCs w:val="16"/>
        </w:rPr>
        <w:t xml:space="preserve"> itp.)</w:t>
      </w:r>
    </w:p>
    <w:p w:rsidR="003F51B7" w:rsidRDefault="003F51B7" w:rsidP="003F51B7">
      <w:pPr>
        <w:pStyle w:val="Akapitzlist"/>
        <w:autoSpaceDE w:val="0"/>
        <w:autoSpaceDN w:val="0"/>
        <w:adjustRightInd w:val="0"/>
        <w:ind w:left="30" w:hanging="390"/>
      </w:pPr>
      <w:r>
        <w:rPr>
          <w:b/>
        </w:rPr>
        <w:t>9.</w:t>
      </w:r>
      <w:r>
        <w:rPr>
          <w:b/>
          <w:sz w:val="14"/>
          <w:szCs w:val="14"/>
        </w:rPr>
        <w:t xml:space="preserve">       </w:t>
      </w:r>
      <w:r>
        <w:rPr>
          <w:b/>
          <w:bCs/>
        </w:rPr>
        <w:t xml:space="preserve">„Odwrotne obciążenie” i solidarna odpowiedzialność nabywcy za zobowiązania w VAT dostawcy - regulacje istotne dla </w:t>
      </w:r>
      <w:proofErr w:type="spellStart"/>
      <w:r>
        <w:rPr>
          <w:b/>
          <w:bCs/>
        </w:rPr>
        <w:t>jst</w:t>
      </w:r>
      <w:proofErr w:type="spellEnd"/>
    </w:p>
    <w:p w:rsidR="003F51B7" w:rsidRPr="0011355E" w:rsidRDefault="003F51B7" w:rsidP="003F51B7">
      <w:pPr>
        <w:numPr>
          <w:ilvl w:val="0"/>
          <w:numId w:val="12"/>
        </w:numPr>
        <w:spacing w:before="100" w:beforeAutospacing="1" w:after="100" w:afterAutospacing="1" w:line="254" w:lineRule="auto"/>
        <w:rPr>
          <w:sz w:val="16"/>
          <w:szCs w:val="16"/>
        </w:rPr>
      </w:pPr>
      <w:r w:rsidRPr="0011355E">
        <w:rPr>
          <w:sz w:val="16"/>
          <w:szCs w:val="16"/>
        </w:rPr>
        <w:t>Nowy katalog towarów objętych mechanizmem „odwrotnego obciążenia” – znowelizowany załącznik nr 11 do ustawy</w:t>
      </w:r>
    </w:p>
    <w:p w:rsidR="003F51B7" w:rsidRPr="0011355E" w:rsidRDefault="003F51B7" w:rsidP="003F51B7">
      <w:pPr>
        <w:numPr>
          <w:ilvl w:val="0"/>
          <w:numId w:val="12"/>
        </w:numPr>
        <w:spacing w:before="100" w:beforeAutospacing="1" w:after="100" w:afterAutospacing="1" w:line="254" w:lineRule="auto"/>
        <w:rPr>
          <w:sz w:val="16"/>
          <w:szCs w:val="16"/>
        </w:rPr>
      </w:pPr>
      <w:r w:rsidRPr="0011355E">
        <w:rPr>
          <w:sz w:val="16"/>
          <w:szCs w:val="16"/>
        </w:rPr>
        <w:t xml:space="preserve"> Zasady ponoszenia przez nabywcę solidarnej odpowiedzialności z dostawcą w transakcjach dotyczących towarów określonych w załączniku nr 13 do ustawy</w:t>
      </w:r>
    </w:p>
    <w:p w:rsidR="003F51B7" w:rsidRPr="0011355E" w:rsidRDefault="003F51B7" w:rsidP="003F51B7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54" w:lineRule="auto"/>
        <w:rPr>
          <w:sz w:val="16"/>
          <w:szCs w:val="16"/>
        </w:rPr>
      </w:pPr>
      <w:r w:rsidRPr="0011355E">
        <w:rPr>
          <w:sz w:val="16"/>
          <w:szCs w:val="16"/>
        </w:rPr>
        <w:t>Rola kaucji gwarancyjnej w ograniczeniu odpowiedzialności nabywcy</w:t>
      </w:r>
    </w:p>
    <w:p w:rsidR="003F51B7" w:rsidRDefault="003F51B7" w:rsidP="003F51B7">
      <w:pPr>
        <w:pStyle w:val="Akapitzlist"/>
        <w:ind w:left="30" w:hanging="390"/>
      </w:pPr>
      <w:r>
        <w:rPr>
          <w:b/>
        </w:rPr>
        <w:t>10.</w:t>
      </w:r>
      <w:r>
        <w:rPr>
          <w:b/>
          <w:sz w:val="14"/>
          <w:szCs w:val="14"/>
        </w:rPr>
        <w:t xml:space="preserve">   </w:t>
      </w:r>
      <w:r>
        <w:rPr>
          <w:b/>
        </w:rPr>
        <w:t xml:space="preserve"> Zmiany pozostałe, istotne dla </w:t>
      </w:r>
      <w:proofErr w:type="spellStart"/>
      <w:r>
        <w:rPr>
          <w:b/>
        </w:rPr>
        <w:t>jst</w:t>
      </w:r>
      <w:proofErr w:type="spellEnd"/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t></w:t>
      </w:r>
      <w:r w:rsidRPr="0011355E">
        <w:rPr>
          <w:rFonts w:eastAsia="Symbol"/>
          <w:sz w:val="16"/>
          <w:szCs w:val="16"/>
        </w:rPr>
        <w:t xml:space="preserve">         </w:t>
      </w:r>
      <w:r w:rsidRPr="0011355E">
        <w:rPr>
          <w:sz w:val="16"/>
          <w:szCs w:val="16"/>
        </w:rPr>
        <w:t>nowe zasady zwolnień dla towarów „używanych”</w:t>
      </w:r>
    </w:p>
    <w:p w:rsidR="003F51B7" w:rsidRPr="0011355E" w:rsidRDefault="003F51B7" w:rsidP="003F51B7">
      <w:pPr>
        <w:pStyle w:val="Akapitzlist"/>
        <w:ind w:hanging="360"/>
        <w:rPr>
          <w:sz w:val="16"/>
          <w:szCs w:val="16"/>
        </w:rPr>
      </w:pPr>
      <w:r w:rsidRPr="0011355E">
        <w:rPr>
          <w:rFonts w:ascii="Symbol" w:eastAsia="Symbol" w:hAnsi="Symbol" w:cs="Symbol"/>
          <w:sz w:val="16"/>
          <w:szCs w:val="16"/>
        </w:rPr>
        <w:lastRenderedPageBreak/>
        <w:t></w:t>
      </w:r>
      <w:r w:rsidRPr="0011355E">
        <w:rPr>
          <w:rFonts w:eastAsia="Symbol"/>
          <w:sz w:val="16"/>
          <w:szCs w:val="16"/>
        </w:rPr>
        <w:t xml:space="preserve">         </w:t>
      </w:r>
      <w:r w:rsidRPr="0011355E">
        <w:rPr>
          <w:sz w:val="16"/>
          <w:szCs w:val="16"/>
        </w:rPr>
        <w:t xml:space="preserve">nowe zasady odliczeń VAT od samochodów – aktualne rozwiązania oraz projektowane zmiany </w:t>
      </w:r>
    </w:p>
    <w:p w:rsidR="003F51B7" w:rsidRDefault="003F51B7" w:rsidP="003F51B7">
      <w:pPr>
        <w:pStyle w:val="bodytext2"/>
        <w:widowControl w:val="0"/>
        <w:spacing w:before="120" w:beforeAutospacing="0" w:after="0" w:afterAutospacing="0"/>
        <w:ind w:left="30" w:right="-108" w:hanging="390"/>
      </w:pPr>
      <w:r>
        <w:rPr>
          <w:b/>
          <w:caps/>
        </w:rPr>
        <w:t>11.</w:t>
      </w:r>
      <w:r>
        <w:rPr>
          <w:b/>
          <w:caps/>
          <w:sz w:val="14"/>
          <w:szCs w:val="14"/>
        </w:rPr>
        <w:t xml:space="preserve">   </w:t>
      </w:r>
      <w:r>
        <w:rPr>
          <w:b/>
        </w:rPr>
        <w:t>Odpowiedzialność za nieprawidłowości w rozliczeniach VAT</w:t>
      </w:r>
    </w:p>
    <w:p w:rsidR="003F51B7" w:rsidRPr="0011355E" w:rsidRDefault="003F51B7" w:rsidP="003F51B7">
      <w:pPr>
        <w:pStyle w:val="bodytext2"/>
        <w:widowControl w:val="0"/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  </w:t>
      </w:r>
      <w:r w:rsidRPr="0011355E">
        <w:rPr>
          <w:sz w:val="16"/>
          <w:szCs w:val="16"/>
        </w:rPr>
        <w:t>kto może podlegać odpowiedzialności</w:t>
      </w:r>
    </w:p>
    <w:p w:rsidR="003F51B7" w:rsidRPr="0011355E" w:rsidRDefault="003F51B7" w:rsidP="003F51B7">
      <w:pPr>
        <w:pStyle w:val="bodytext2"/>
        <w:widowControl w:val="0"/>
        <w:spacing w:before="0" w:beforeAutospacing="0" w:after="0" w:afterAutospacing="0"/>
        <w:ind w:left="720" w:right="-108" w:hanging="360"/>
        <w:rPr>
          <w:sz w:val="16"/>
          <w:szCs w:val="16"/>
        </w:rPr>
      </w:pPr>
      <w:r w:rsidRPr="0011355E">
        <w:rPr>
          <w:rFonts w:ascii="Symbol" w:eastAsia="Symbol" w:hAnsi="Symbol" w:cs="Symbol"/>
          <w:caps/>
          <w:sz w:val="16"/>
          <w:szCs w:val="16"/>
        </w:rPr>
        <w:t></w:t>
      </w:r>
      <w:r w:rsidRPr="0011355E">
        <w:rPr>
          <w:rFonts w:eastAsia="Symbol"/>
          <w:caps/>
          <w:sz w:val="16"/>
          <w:szCs w:val="16"/>
        </w:rPr>
        <w:t xml:space="preserve">         </w:t>
      </w:r>
      <w:r w:rsidRPr="0011355E">
        <w:rPr>
          <w:sz w:val="16"/>
          <w:szCs w:val="16"/>
        </w:rPr>
        <w:t>rodzaje odpowiedzialności i sankcje</w:t>
      </w:r>
    </w:p>
    <w:p w:rsidR="000C440D" w:rsidRDefault="000C440D" w:rsidP="001B6DE0">
      <w:r w:rsidRPr="000C440D">
        <w:rPr>
          <w:rFonts w:ascii="Arial Black" w:hAnsi="Arial Black"/>
          <w:b/>
        </w:rPr>
        <w:t>PROWADZĄCY:</w:t>
      </w:r>
      <w:r>
        <w:t xml:space="preserve"> </w:t>
      </w:r>
      <w:r w:rsidR="00983E76" w:rsidRPr="003E2D66">
        <w:rPr>
          <w:b/>
        </w:rPr>
        <w:t>Anna Welsyng</w:t>
      </w:r>
      <w:r>
        <w:t xml:space="preserve"> </w:t>
      </w:r>
      <w:r w:rsidR="003E2D66">
        <w:t>–</w:t>
      </w:r>
      <w:r>
        <w:t xml:space="preserve"> </w:t>
      </w:r>
      <w:r w:rsidR="003E2D66">
        <w:t>raca prawny, dora</w:t>
      </w:r>
      <w:r w:rsidR="00A07E92">
        <w:t>dca podatkowy, certyfikat MF, wł</w:t>
      </w:r>
      <w:r w:rsidR="003E2D66">
        <w:t>aścicielka kancelarii z siedzibą w Warszawie, absolwentka wydziału prawa UJ w Krakowie oraz studiów podyplomowych z zakresu rachunkowości i finansów oraz podatków i zarządzania. Autorka kilkuset publikacji o tematyce podatkowej – artykułów w prasie codziennej oraz periodykach, a także publikacji książkowych</w:t>
      </w:r>
      <w:r w:rsidR="00A07E92">
        <w:t xml:space="preserve"> – „Odpowiedzi na pytania egzaminacyjne dla kandydatów na doradców podatkowych” – testy, kazusy oraz odpowiedzi na pytania otwarte, „Amortyzacja w praktyce” oraz „Skuteczne zarządzanie kancelarią podatkową oraz biurem rachunkowym”). Stale współpracuje z Rzeczpospolitą, Grupą Wydawniczą </w:t>
      </w:r>
      <w:proofErr w:type="spellStart"/>
      <w:r w:rsidR="00A07E92">
        <w:t>Infor</w:t>
      </w:r>
      <w:proofErr w:type="spellEnd"/>
      <w:r w:rsidR="00A07E92">
        <w:t xml:space="preserve"> SA, Wydawnictwem Wiedza i Praktyka, </w:t>
      </w:r>
      <w:proofErr w:type="spellStart"/>
      <w:r w:rsidR="00A07E92">
        <w:t>Wolters</w:t>
      </w:r>
      <w:proofErr w:type="spellEnd"/>
      <w:r w:rsidR="00A07E92">
        <w:t xml:space="preserve"> </w:t>
      </w:r>
      <w:proofErr w:type="spellStart"/>
      <w:r w:rsidR="00A07E92">
        <w:t>Kluwer</w:t>
      </w:r>
      <w:proofErr w:type="spellEnd"/>
      <w:r w:rsidR="00A07E92">
        <w:t>, Forum Doradców Podatkowych, Grupą Onet.pl SA. Wykładowca na studiach podyplomowych z zakresu prawa podatkowego dla kandydatów na doradców podatkowych oraz przygotowujących do uzyskania certyfikatu Księgowego MF, doświadczony trener stale współpracujący z firmami szkoleniowymi w zakresie szkoleń otwartych i zamkniętych z zakresu tematyki podatkowej (zwłaszcza Ordynacji podatkowej oraz VAT, CIT i PIT).</w:t>
      </w:r>
    </w:p>
    <w:p w:rsidR="000C440D" w:rsidRPr="0011355E" w:rsidRDefault="000C440D" w:rsidP="001B6DE0">
      <w:pPr>
        <w:rPr>
          <w:sz w:val="16"/>
          <w:szCs w:val="16"/>
        </w:rPr>
      </w:pPr>
    </w:p>
    <w:p w:rsidR="000C440D" w:rsidRPr="0089443C" w:rsidRDefault="000C440D" w:rsidP="001B6DE0">
      <w:r w:rsidRPr="000C440D">
        <w:rPr>
          <w:rFonts w:ascii="Arial Black" w:hAnsi="Arial Black"/>
          <w:b/>
        </w:rPr>
        <w:t>DATA:</w:t>
      </w:r>
      <w:r w:rsidR="00707FE2">
        <w:t xml:space="preserve"> </w:t>
      </w:r>
      <w:r w:rsidR="00FD38EC">
        <w:t>29 maja</w:t>
      </w:r>
      <w:r w:rsidR="003F51B7">
        <w:t xml:space="preserve"> 2014</w:t>
      </w:r>
      <w:r w:rsidR="0024742D" w:rsidRPr="0089443C">
        <w:t xml:space="preserve"> w godz. 10.00 – 15.00</w:t>
      </w:r>
    </w:p>
    <w:p w:rsidR="000C440D" w:rsidRPr="0011355E" w:rsidRDefault="000C440D" w:rsidP="001B6DE0">
      <w:pPr>
        <w:rPr>
          <w:sz w:val="16"/>
          <w:szCs w:val="16"/>
        </w:rPr>
      </w:pPr>
    </w:p>
    <w:p w:rsidR="009C2B91" w:rsidRPr="006B4A43" w:rsidRDefault="002D342D" w:rsidP="009C2B91">
      <w:pPr>
        <w:rPr>
          <w:rStyle w:val="jqtooltip"/>
          <w:b/>
          <w:bCs/>
          <w:sz w:val="28"/>
          <w:szCs w:val="28"/>
        </w:rPr>
      </w:pPr>
      <w:r>
        <w:rPr>
          <w:rFonts w:ascii="Arial Black" w:hAnsi="Arial Black"/>
          <w:b/>
        </w:rPr>
        <w:t>MIEJSCE SZKOLENIA</w:t>
      </w:r>
      <w:r w:rsidR="000C440D" w:rsidRPr="000C440D">
        <w:rPr>
          <w:rFonts w:ascii="Arial Black" w:hAnsi="Arial Black"/>
          <w:b/>
        </w:rPr>
        <w:t>:</w:t>
      </w:r>
      <w:r w:rsidR="003161BF">
        <w:rPr>
          <w:b/>
        </w:rPr>
        <w:t xml:space="preserve"> </w:t>
      </w:r>
      <w:r w:rsidR="0008273C">
        <w:rPr>
          <w:b/>
          <w:bCs/>
        </w:rPr>
        <w:t>DOM HARCERZA, ul. Za Murami 2-10</w:t>
      </w:r>
      <w:r w:rsidR="009C2B91" w:rsidRPr="006B4A43">
        <w:rPr>
          <w:b/>
          <w:bCs/>
        </w:rPr>
        <w:t xml:space="preserve">, </w:t>
      </w:r>
      <w:r w:rsidR="0008273C">
        <w:rPr>
          <w:b/>
          <w:bCs/>
        </w:rPr>
        <w:t>Gdańsk</w:t>
      </w:r>
      <w:r w:rsidR="006B4A43">
        <w:rPr>
          <w:b/>
          <w:bCs/>
          <w:sz w:val="28"/>
          <w:szCs w:val="28"/>
        </w:rPr>
        <w:t xml:space="preserve"> </w:t>
      </w:r>
      <w:r w:rsidR="006B4A43">
        <w:rPr>
          <w:sz w:val="28"/>
          <w:szCs w:val="28"/>
        </w:rPr>
        <w:t>(</w:t>
      </w:r>
      <w:r w:rsidR="0008273C">
        <w:rPr>
          <w:sz w:val="28"/>
          <w:szCs w:val="28"/>
        </w:rPr>
        <w:t xml:space="preserve">Stare Miasto, </w:t>
      </w:r>
      <w:r w:rsidR="0008273C">
        <w:t>ok. 10-15 min. od dworca PKP i PKS</w:t>
      </w:r>
      <w:r w:rsidR="009C2B91" w:rsidRPr="003525C9">
        <w:rPr>
          <w:sz w:val="28"/>
          <w:szCs w:val="28"/>
        </w:rPr>
        <w:t>).</w:t>
      </w:r>
    </w:p>
    <w:p w:rsidR="000C440D" w:rsidRPr="002E3BE4" w:rsidRDefault="000C440D" w:rsidP="001B6DE0">
      <w:pPr>
        <w:rPr>
          <w:rStyle w:val="jqtooltip"/>
          <w:sz w:val="16"/>
          <w:szCs w:val="16"/>
        </w:rPr>
      </w:pPr>
    </w:p>
    <w:p w:rsidR="00707FE2" w:rsidRDefault="000C440D" w:rsidP="001B6DE0">
      <w:pPr>
        <w:rPr>
          <w:b/>
        </w:rPr>
      </w:pPr>
      <w:r w:rsidRPr="000C440D">
        <w:rPr>
          <w:rStyle w:val="jqtooltip"/>
          <w:rFonts w:ascii="Arial Black" w:hAnsi="Arial Black"/>
          <w:b/>
        </w:rPr>
        <w:t>CENA:</w:t>
      </w:r>
      <w:r>
        <w:rPr>
          <w:rStyle w:val="jqtooltip"/>
        </w:rPr>
        <w:t xml:space="preserve"> </w:t>
      </w:r>
      <w:r w:rsidR="0008273C">
        <w:rPr>
          <w:rStyle w:val="jqtooltip"/>
          <w:b/>
        </w:rPr>
        <w:t>299</w:t>
      </w:r>
      <w:r w:rsidR="00983E76">
        <w:rPr>
          <w:rStyle w:val="jqtooltip"/>
          <w:b/>
        </w:rPr>
        <w:t xml:space="preserve"> </w:t>
      </w:r>
      <w:r w:rsidRPr="000C440D">
        <w:rPr>
          <w:rStyle w:val="jqtooltip"/>
          <w:b/>
        </w:rPr>
        <w:t>zł</w:t>
      </w:r>
      <w:r>
        <w:rPr>
          <w:rStyle w:val="jqtooltip"/>
        </w:rPr>
        <w:t xml:space="preserve"> (w wypadku finansowania udziału przynajmniej w 70%</w:t>
      </w:r>
      <w:r>
        <w:rPr>
          <w:b/>
        </w:rPr>
        <w:t xml:space="preserve"> </w:t>
      </w:r>
      <w:r w:rsidRPr="000C440D">
        <w:t>ze środków publicznych</w:t>
      </w:r>
      <w:r>
        <w:rPr>
          <w:b/>
        </w:rPr>
        <w:t xml:space="preserve">, </w:t>
      </w:r>
      <w:r w:rsidRPr="000C440D">
        <w:t>w</w:t>
      </w:r>
      <w:r>
        <w:rPr>
          <w:b/>
        </w:rPr>
        <w:t xml:space="preserve"> </w:t>
      </w:r>
      <w:r w:rsidRPr="000C440D">
        <w:t>przeciwnym wypadku należy doliczyć 2</w:t>
      </w:r>
      <w:r w:rsidR="00B20BCF">
        <w:t xml:space="preserve">3% VAT). Cena obejmuje </w:t>
      </w:r>
      <w:r w:rsidRPr="000C440D">
        <w:t>ma</w:t>
      </w:r>
      <w:r w:rsidR="00BF1DC8">
        <w:t>teriały, teczkę, długopis i notes oraz przerwy kawowe i lunch</w:t>
      </w:r>
      <w:r w:rsidRPr="000C440D">
        <w:t>.</w:t>
      </w:r>
      <w:r w:rsidR="00946EA1">
        <w:rPr>
          <w:b/>
        </w:rPr>
        <w:t xml:space="preserve"> Opł</w:t>
      </w:r>
      <w:r w:rsidR="00707FE2">
        <w:rPr>
          <w:b/>
        </w:rPr>
        <w:t>atę można przekazać na nasze konto:</w:t>
      </w:r>
    </w:p>
    <w:p w:rsidR="00707FE2" w:rsidRPr="002E3BE4" w:rsidRDefault="00707FE2" w:rsidP="001B6DE0">
      <w:pPr>
        <w:rPr>
          <w:b/>
          <w:sz w:val="16"/>
          <w:szCs w:val="16"/>
        </w:rPr>
      </w:pPr>
    </w:p>
    <w:p w:rsidR="001B6DE0" w:rsidRDefault="00B20BCF" w:rsidP="00707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707FE2" w:rsidRPr="00707FE2">
        <w:rPr>
          <w:b/>
          <w:sz w:val="32"/>
          <w:szCs w:val="32"/>
        </w:rPr>
        <w:t xml:space="preserve"> 11</w:t>
      </w:r>
      <w:r w:rsidR="00946EA1">
        <w:rPr>
          <w:b/>
          <w:sz w:val="32"/>
          <w:szCs w:val="32"/>
        </w:rPr>
        <w:t>40 2004 0000 3002 7474 8347</w:t>
      </w:r>
    </w:p>
    <w:p w:rsidR="00707FE2" w:rsidRPr="002E3BE4" w:rsidRDefault="00707FE2" w:rsidP="00707FE2">
      <w:pPr>
        <w:jc w:val="center"/>
        <w:rPr>
          <w:b/>
          <w:sz w:val="16"/>
          <w:szCs w:val="16"/>
        </w:rPr>
      </w:pPr>
    </w:p>
    <w:p w:rsidR="00707FE2" w:rsidRDefault="00707FE2" w:rsidP="00707FE2">
      <w:pPr>
        <w:rPr>
          <w:b/>
        </w:rPr>
      </w:pPr>
      <w:r w:rsidRPr="00707FE2">
        <w:rPr>
          <w:b/>
        </w:rPr>
        <w:t>lub zapłacić na miejscu przed szkoleniem.</w:t>
      </w:r>
    </w:p>
    <w:p w:rsidR="00707FE2" w:rsidRPr="0011355E" w:rsidRDefault="00707FE2" w:rsidP="00707FE2">
      <w:pPr>
        <w:rPr>
          <w:b/>
          <w:sz w:val="16"/>
          <w:szCs w:val="16"/>
        </w:rPr>
      </w:pPr>
    </w:p>
    <w:p w:rsidR="00B20BCF" w:rsidRDefault="00714665" w:rsidP="00707FE2">
      <w:r>
        <w:rPr>
          <w:rFonts w:ascii="Arial Black" w:hAnsi="Arial Black"/>
          <w:b/>
        </w:rPr>
        <w:t>ZGŁ</w:t>
      </w:r>
      <w:r w:rsidR="00707FE2" w:rsidRPr="00714665">
        <w:rPr>
          <w:rFonts w:ascii="Arial Black" w:hAnsi="Arial Black"/>
          <w:b/>
        </w:rPr>
        <w:t>OSZENIA</w:t>
      </w:r>
      <w:r w:rsidR="00707FE2">
        <w:rPr>
          <w:b/>
        </w:rPr>
        <w:t xml:space="preserve"> przyjmujemy </w:t>
      </w:r>
      <w:proofErr w:type="spellStart"/>
      <w:r w:rsidR="00707FE2">
        <w:rPr>
          <w:b/>
        </w:rPr>
        <w:t>fax</w:t>
      </w:r>
      <w:r w:rsidR="00BF1DC8">
        <w:rPr>
          <w:b/>
        </w:rPr>
        <w:t>em</w:t>
      </w:r>
      <w:proofErr w:type="spellEnd"/>
      <w:r w:rsidR="00BF1DC8">
        <w:rPr>
          <w:b/>
        </w:rPr>
        <w:t xml:space="preserve"> lub mailem. </w:t>
      </w:r>
      <w:r w:rsidR="00BF1DC8" w:rsidRPr="00BF1DC8">
        <w:t>Prosimy nie wysył</w:t>
      </w:r>
      <w:r w:rsidR="00707FE2" w:rsidRPr="00BF1DC8">
        <w:t xml:space="preserve">ać </w:t>
      </w:r>
      <w:r w:rsidRPr="00BF1DC8">
        <w:t>zgłoszeń drogą pocztową.</w:t>
      </w:r>
      <w:r w:rsidR="00BF1DC8" w:rsidRPr="00BF1DC8">
        <w:t xml:space="preserve"> </w:t>
      </w:r>
    </w:p>
    <w:p w:rsidR="00707FE2" w:rsidRPr="00B20BCF" w:rsidRDefault="00BF1DC8" w:rsidP="00707FE2">
      <w:pPr>
        <w:rPr>
          <w:sz w:val="22"/>
          <w:szCs w:val="22"/>
        </w:rPr>
      </w:pPr>
      <w:r w:rsidRPr="00B20BCF">
        <w:rPr>
          <w:sz w:val="22"/>
          <w:szCs w:val="22"/>
        </w:rPr>
        <w:t>Ze względów organizacyjnych rezygnacje ze szkolenia przyjmujemy najpóźniej 2 dni robocze przed szkoleniem.</w:t>
      </w:r>
    </w:p>
    <w:p w:rsidR="00BF1DC8" w:rsidRDefault="00BF1DC8" w:rsidP="00707FE2">
      <w:pPr>
        <w:rPr>
          <w:b/>
        </w:rPr>
      </w:pPr>
    </w:p>
    <w:p w:rsidR="00BF1DC8" w:rsidRPr="004C5FE7" w:rsidRDefault="00BF1DC8" w:rsidP="00707FE2">
      <w:pPr>
        <w:rPr>
          <w:b/>
          <w:sz w:val="28"/>
          <w:szCs w:val="28"/>
        </w:rPr>
      </w:pPr>
      <w:r w:rsidRPr="00BF1DC8">
        <w:rPr>
          <w:b/>
          <w:sz w:val="28"/>
          <w:szCs w:val="28"/>
        </w:rPr>
        <w:t>Zachęcam do korzystania z naszych usług – Prezes Jolanta Barczyńska</w:t>
      </w:r>
    </w:p>
    <w:p w:rsidR="002E3BE4" w:rsidRDefault="002E3BE4" w:rsidP="002E3BE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2E3BE4" w:rsidRPr="00BF1DC8" w:rsidRDefault="002E3BE4" w:rsidP="002E3BE4">
      <w:pPr>
        <w:jc w:val="center"/>
        <w:rPr>
          <w:b/>
          <w:sz w:val="32"/>
          <w:szCs w:val="32"/>
        </w:rPr>
      </w:pPr>
      <w:r w:rsidRPr="00BF1DC8">
        <w:rPr>
          <w:b/>
          <w:sz w:val="32"/>
          <w:szCs w:val="32"/>
        </w:rPr>
        <w:t>Centrum Szkoleniowe KORMORAN</w:t>
      </w:r>
    </w:p>
    <w:p w:rsidR="002E3BE4" w:rsidRDefault="002E3BE4" w:rsidP="002E3BE4">
      <w:pPr>
        <w:jc w:val="center"/>
        <w:rPr>
          <w:b/>
        </w:rPr>
      </w:pPr>
      <w:r>
        <w:rPr>
          <w:b/>
        </w:rPr>
        <w:t>Skrytka pocztowa 63, 11-500 Giżycko</w:t>
      </w:r>
    </w:p>
    <w:p w:rsidR="002E3BE4" w:rsidRDefault="002E3BE4" w:rsidP="002E3BE4">
      <w:pPr>
        <w:jc w:val="center"/>
        <w:rPr>
          <w:b/>
          <w:bCs/>
          <w:sz w:val="22"/>
          <w:szCs w:val="22"/>
          <w:lang w:val="en-US"/>
        </w:rPr>
      </w:pPr>
      <w:r w:rsidRPr="00BF1DC8">
        <w:rPr>
          <w:b/>
          <w:bCs/>
          <w:sz w:val="22"/>
          <w:szCs w:val="22"/>
          <w:lang w:val="en-US"/>
        </w:rPr>
        <w:t>www.cskormoran.pl, e-mail: biuro@cskormoran.pl</w:t>
      </w:r>
    </w:p>
    <w:p w:rsidR="002E3BE4" w:rsidRPr="00A3034B" w:rsidRDefault="002E3BE4" w:rsidP="002E3BE4">
      <w:pPr>
        <w:jc w:val="center"/>
        <w:rPr>
          <w:b/>
        </w:rPr>
      </w:pPr>
      <w:r w:rsidRPr="00A3034B">
        <w:rPr>
          <w:b/>
          <w:bCs/>
          <w:sz w:val="22"/>
          <w:szCs w:val="22"/>
        </w:rPr>
        <w:t xml:space="preserve">tel. 89 679 57 72, </w:t>
      </w:r>
      <w:proofErr w:type="spellStart"/>
      <w:r w:rsidRPr="00A3034B">
        <w:rPr>
          <w:b/>
          <w:bCs/>
          <w:sz w:val="22"/>
          <w:szCs w:val="22"/>
        </w:rPr>
        <w:t>fax</w:t>
      </w:r>
      <w:proofErr w:type="spellEnd"/>
      <w:r w:rsidRPr="00A3034B">
        <w:rPr>
          <w:b/>
          <w:bCs/>
          <w:sz w:val="22"/>
          <w:szCs w:val="22"/>
        </w:rPr>
        <w:t xml:space="preserve"> 89 679 57 82, tel. kom. 697 284 352</w:t>
      </w:r>
    </w:p>
    <w:p w:rsidR="002E3BE4" w:rsidRPr="0011355E" w:rsidRDefault="002E3BE4" w:rsidP="002E3BE4">
      <w:pPr>
        <w:rPr>
          <w:sz w:val="16"/>
          <w:szCs w:val="16"/>
        </w:rPr>
      </w:pPr>
      <w:r w:rsidRPr="00A3034B">
        <w:t xml:space="preserve">                                             </w:t>
      </w:r>
    </w:p>
    <w:p w:rsidR="002E3BE4" w:rsidRPr="00CB625D" w:rsidRDefault="002E3BE4" w:rsidP="002E3BE4">
      <w:pPr>
        <w:jc w:val="center"/>
        <w:rPr>
          <w:b/>
          <w:sz w:val="36"/>
          <w:szCs w:val="36"/>
        </w:rPr>
      </w:pPr>
      <w:r w:rsidRPr="00CB625D">
        <w:rPr>
          <w:b/>
          <w:sz w:val="36"/>
          <w:szCs w:val="36"/>
        </w:rPr>
        <w:t>KARTA ZGŁOSZENIOWA NA SZKOLENIE</w:t>
      </w:r>
    </w:p>
    <w:p w:rsidR="002E3BE4" w:rsidRPr="00A3034B" w:rsidRDefault="002E3BE4" w:rsidP="002E3BE4">
      <w:pPr>
        <w:jc w:val="center"/>
        <w:rPr>
          <w:b/>
          <w:sz w:val="20"/>
          <w:szCs w:val="20"/>
        </w:rPr>
      </w:pPr>
    </w:p>
    <w:p w:rsidR="002E3BE4" w:rsidRDefault="002E3BE4" w:rsidP="002E3B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Temat: VAT w JST – </w:t>
      </w:r>
      <w:r w:rsidR="00114186">
        <w:rPr>
          <w:b/>
          <w:sz w:val="32"/>
          <w:szCs w:val="32"/>
        </w:rPr>
        <w:t>2</w:t>
      </w:r>
      <w:r w:rsidR="00FD38EC">
        <w:rPr>
          <w:b/>
          <w:sz w:val="32"/>
          <w:szCs w:val="32"/>
        </w:rPr>
        <w:t>9.</w:t>
      </w:r>
      <w:r w:rsidR="00E21C57">
        <w:rPr>
          <w:b/>
          <w:sz w:val="32"/>
          <w:szCs w:val="32"/>
        </w:rPr>
        <w:t>0</w:t>
      </w:r>
      <w:r w:rsidR="00FD38EC">
        <w:rPr>
          <w:b/>
          <w:sz w:val="32"/>
          <w:szCs w:val="32"/>
        </w:rPr>
        <w:t>5</w:t>
      </w:r>
      <w:r w:rsidR="00E21C57">
        <w:rPr>
          <w:b/>
          <w:sz w:val="32"/>
          <w:szCs w:val="32"/>
        </w:rPr>
        <w:t>.2014</w:t>
      </w:r>
      <w:r w:rsidR="0008273C">
        <w:rPr>
          <w:b/>
          <w:sz w:val="32"/>
          <w:szCs w:val="32"/>
        </w:rPr>
        <w:t xml:space="preserve"> (Gdańsk</w:t>
      </w:r>
      <w:r w:rsidR="00946EA1">
        <w:rPr>
          <w:b/>
          <w:sz w:val="32"/>
          <w:szCs w:val="32"/>
        </w:rPr>
        <w:t>)</w:t>
      </w:r>
      <w:r w:rsidR="00B20BCF">
        <w:rPr>
          <w:b/>
          <w:sz w:val="32"/>
          <w:szCs w:val="32"/>
        </w:rPr>
        <w:t xml:space="preserve">        NIP: .....................................</w:t>
      </w:r>
    </w:p>
    <w:p w:rsidR="002E3BE4" w:rsidRPr="0011355E" w:rsidRDefault="002E3BE4" w:rsidP="002E3BE4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2835"/>
        <w:gridCol w:w="2867"/>
      </w:tblGrid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 e-mail</w:t>
            </w: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telefonu / </w:t>
            </w:r>
            <w:proofErr w:type="spellStart"/>
            <w:r>
              <w:rPr>
                <w:b/>
                <w:sz w:val="32"/>
                <w:szCs w:val="32"/>
              </w:rPr>
              <w:t>faxu</w:t>
            </w:r>
            <w:proofErr w:type="spellEnd"/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</w:tbl>
    <w:p w:rsidR="002E3BE4" w:rsidRPr="0011355E" w:rsidRDefault="002E3BE4" w:rsidP="002E3BE4">
      <w:pPr>
        <w:rPr>
          <w:b/>
          <w:sz w:val="8"/>
          <w:szCs w:val="8"/>
        </w:rPr>
      </w:pPr>
    </w:p>
    <w:p w:rsidR="002E3BE4" w:rsidRDefault="002E3BE4" w:rsidP="002E3BE4">
      <w:pPr>
        <w:rPr>
          <w:b/>
        </w:rPr>
      </w:pPr>
      <w:r w:rsidRPr="00CB625D">
        <w:rPr>
          <w:b/>
        </w:rPr>
        <w:t>Podpis i pieczątka</w:t>
      </w:r>
      <w:r>
        <w:rPr>
          <w:b/>
        </w:rPr>
        <w:t xml:space="preserve"> (z dokładną nazwą instytucji, adresem i nr NIP)</w:t>
      </w:r>
      <w:r w:rsidRPr="00CB625D">
        <w:rPr>
          <w:b/>
        </w:rPr>
        <w:t>:</w:t>
      </w: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  <w:r>
        <w:rPr>
          <w:b/>
        </w:rPr>
        <w:t>………………………………………..</w:t>
      </w:r>
    </w:p>
    <w:p w:rsidR="0085777B" w:rsidRPr="00DB5D90" w:rsidRDefault="0085777B"/>
    <w:sectPr w:rsidR="0085777B" w:rsidRPr="00DB5D90" w:rsidSect="004C5FE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7EE"/>
    <w:multiLevelType w:val="hybridMultilevel"/>
    <w:tmpl w:val="79E6CF26"/>
    <w:lvl w:ilvl="0" w:tplc="EA2A0E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>
    <w:nsid w:val="28E6462A"/>
    <w:multiLevelType w:val="hybridMultilevel"/>
    <w:tmpl w:val="4BA801BC"/>
    <w:lvl w:ilvl="0" w:tplc="AABC7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C8C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46434"/>
    <w:multiLevelType w:val="hybridMultilevel"/>
    <w:tmpl w:val="5FAEFE8A"/>
    <w:lvl w:ilvl="0" w:tplc="D5F47AB2">
      <w:start w:val="2"/>
      <w:numFmt w:val="decimal"/>
      <w:lvlText w:val="%1."/>
      <w:lvlJc w:val="left"/>
      <w:pPr>
        <w:tabs>
          <w:tab w:val="num" w:pos="1518"/>
        </w:tabs>
        <w:ind w:left="1518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2C424B7"/>
    <w:multiLevelType w:val="hybridMultilevel"/>
    <w:tmpl w:val="55DE7AFE"/>
    <w:lvl w:ilvl="0" w:tplc="143EF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4BE76A2"/>
    <w:multiLevelType w:val="hybridMultilevel"/>
    <w:tmpl w:val="17DCA78C"/>
    <w:lvl w:ilvl="0" w:tplc="F95E5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95EC5"/>
    <w:multiLevelType w:val="multilevel"/>
    <w:tmpl w:val="014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E0196"/>
    <w:multiLevelType w:val="hybridMultilevel"/>
    <w:tmpl w:val="61103D50"/>
    <w:lvl w:ilvl="0" w:tplc="018C8E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60FC6F85"/>
    <w:multiLevelType w:val="hybridMultilevel"/>
    <w:tmpl w:val="401E2D10"/>
    <w:lvl w:ilvl="0" w:tplc="6ABABA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4927634"/>
    <w:multiLevelType w:val="hybridMultilevel"/>
    <w:tmpl w:val="CA92BD04"/>
    <w:lvl w:ilvl="0" w:tplc="0F6014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7955FC3"/>
    <w:multiLevelType w:val="hybridMultilevel"/>
    <w:tmpl w:val="33B87BAE"/>
    <w:lvl w:ilvl="0" w:tplc="47B20F3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B94"/>
    <w:rsid w:val="0008273C"/>
    <w:rsid w:val="000B0776"/>
    <w:rsid w:val="000C440D"/>
    <w:rsid w:val="0011355E"/>
    <w:rsid w:val="00114186"/>
    <w:rsid w:val="001756D8"/>
    <w:rsid w:val="001A483F"/>
    <w:rsid w:val="001B6DE0"/>
    <w:rsid w:val="001C32F2"/>
    <w:rsid w:val="0024742D"/>
    <w:rsid w:val="002D1BC7"/>
    <w:rsid w:val="002D342D"/>
    <w:rsid w:val="002E3BE4"/>
    <w:rsid w:val="003161BF"/>
    <w:rsid w:val="00352424"/>
    <w:rsid w:val="00377FBB"/>
    <w:rsid w:val="00382A12"/>
    <w:rsid w:val="00386359"/>
    <w:rsid w:val="003D01E6"/>
    <w:rsid w:val="003E2D66"/>
    <w:rsid w:val="003E5F06"/>
    <w:rsid w:val="003F51B7"/>
    <w:rsid w:val="00462C85"/>
    <w:rsid w:val="004C5FE7"/>
    <w:rsid w:val="00516174"/>
    <w:rsid w:val="0053200D"/>
    <w:rsid w:val="006708ED"/>
    <w:rsid w:val="006960CA"/>
    <w:rsid w:val="006A3854"/>
    <w:rsid w:val="006B4A43"/>
    <w:rsid w:val="006C33FF"/>
    <w:rsid w:val="00707FE2"/>
    <w:rsid w:val="00714665"/>
    <w:rsid w:val="00752F01"/>
    <w:rsid w:val="00770193"/>
    <w:rsid w:val="007E1D05"/>
    <w:rsid w:val="007E4710"/>
    <w:rsid w:val="008435B2"/>
    <w:rsid w:val="0085777B"/>
    <w:rsid w:val="00860DCB"/>
    <w:rsid w:val="0089443C"/>
    <w:rsid w:val="008B0B4F"/>
    <w:rsid w:val="008C253F"/>
    <w:rsid w:val="0093530E"/>
    <w:rsid w:val="00946EA1"/>
    <w:rsid w:val="00983E76"/>
    <w:rsid w:val="009A3BCE"/>
    <w:rsid w:val="009C2B91"/>
    <w:rsid w:val="009C766F"/>
    <w:rsid w:val="00A07E92"/>
    <w:rsid w:val="00A4223D"/>
    <w:rsid w:val="00A716DB"/>
    <w:rsid w:val="00A86AFF"/>
    <w:rsid w:val="00AC3CA9"/>
    <w:rsid w:val="00AD740E"/>
    <w:rsid w:val="00AF5587"/>
    <w:rsid w:val="00B16049"/>
    <w:rsid w:val="00B20BCF"/>
    <w:rsid w:val="00B46281"/>
    <w:rsid w:val="00B601F6"/>
    <w:rsid w:val="00B719B5"/>
    <w:rsid w:val="00B97385"/>
    <w:rsid w:val="00BB2B94"/>
    <w:rsid w:val="00BF1DC8"/>
    <w:rsid w:val="00C55926"/>
    <w:rsid w:val="00C73CEA"/>
    <w:rsid w:val="00CA0DFE"/>
    <w:rsid w:val="00CA42BE"/>
    <w:rsid w:val="00CD7DCE"/>
    <w:rsid w:val="00CF716C"/>
    <w:rsid w:val="00D15FEE"/>
    <w:rsid w:val="00D411E1"/>
    <w:rsid w:val="00D65FAC"/>
    <w:rsid w:val="00D74D6A"/>
    <w:rsid w:val="00D75980"/>
    <w:rsid w:val="00D86C8B"/>
    <w:rsid w:val="00DB5D90"/>
    <w:rsid w:val="00E21C24"/>
    <w:rsid w:val="00E21C57"/>
    <w:rsid w:val="00E3142C"/>
    <w:rsid w:val="00E50ABF"/>
    <w:rsid w:val="00E625DE"/>
    <w:rsid w:val="00EE385E"/>
    <w:rsid w:val="00EF73F2"/>
    <w:rsid w:val="00F134FC"/>
    <w:rsid w:val="00F656A1"/>
    <w:rsid w:val="00FD38E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jqtooltip">
    <w:name w:val="jq_tooltip"/>
    <w:basedOn w:val="Domylnaczcionkaakapitu"/>
    <w:rsid w:val="000C440D"/>
  </w:style>
  <w:style w:type="paragraph" w:styleId="Tekstdymka">
    <w:name w:val="Balloon Text"/>
    <w:basedOn w:val="Normalny"/>
    <w:link w:val="TekstdymkaZnak"/>
    <w:uiPriority w:val="99"/>
    <w:semiHidden/>
    <w:unhideWhenUsed/>
    <w:rsid w:val="00770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D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7E92"/>
    <w:pPr>
      <w:ind w:left="720"/>
      <w:contextualSpacing/>
    </w:pPr>
  </w:style>
  <w:style w:type="table" w:styleId="Tabela-Siatka">
    <w:name w:val="Table Grid"/>
    <w:basedOn w:val="Standardowy"/>
    <w:uiPriority w:val="59"/>
    <w:rsid w:val="002E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F51B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bodytext2">
    <w:name w:val="bodytext2"/>
    <w:basedOn w:val="Normalny"/>
    <w:uiPriority w:val="99"/>
    <w:semiHidden/>
    <w:rsid w:val="003F51B7"/>
    <w:pPr>
      <w:spacing w:before="100" w:beforeAutospacing="1" w:after="100" w:afterAutospacing="1"/>
    </w:pPr>
    <w:rPr>
      <w:color w:val="000000"/>
    </w:rPr>
  </w:style>
  <w:style w:type="paragraph" w:customStyle="1" w:styleId="akapitzlist1">
    <w:name w:val="akapitzlist1"/>
    <w:basedOn w:val="Normalny"/>
    <w:uiPriority w:val="99"/>
    <w:semiHidden/>
    <w:rsid w:val="003F51B7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Jędrzejewski</dc:creator>
  <cp:lastModifiedBy>Miłosz</cp:lastModifiedBy>
  <cp:revision>2</cp:revision>
  <cp:lastPrinted>2014-03-18T09:47:00Z</cp:lastPrinted>
  <dcterms:created xsi:type="dcterms:W3CDTF">2014-05-14T10:22:00Z</dcterms:created>
  <dcterms:modified xsi:type="dcterms:W3CDTF">2014-05-14T10:22:00Z</dcterms:modified>
</cp:coreProperties>
</file>